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BEE23" w14:textId="77777777" w:rsidR="00E02B66" w:rsidRDefault="00E02B66" w:rsidP="00FC6EEA">
      <w:pPr>
        <w:spacing w:after="200"/>
        <w:rPr>
          <w:rFonts w:ascii="Calibri" w:eastAsia="Calibri" w:hAnsi="Calibri" w:cs="Calibri"/>
          <w:b/>
          <w:bCs/>
          <w:sz w:val="28"/>
          <w:szCs w:val="28"/>
        </w:rPr>
      </w:pPr>
    </w:p>
    <w:p w14:paraId="6F8ECEC9" w14:textId="14A043F6" w:rsidR="00772529" w:rsidRPr="003B4642" w:rsidRDefault="00000000" w:rsidP="003B4642">
      <w:pPr>
        <w:spacing w:after="200" w:line="360" w:lineRule="auto"/>
        <w:jc w:val="both"/>
        <w:rPr>
          <w:rFonts w:ascii="Calibri" w:eastAsia="Calibri" w:hAnsi="Calibri" w:cs="Calibri"/>
          <w:b/>
          <w:bCs/>
          <w:sz w:val="24"/>
          <w:szCs w:val="24"/>
        </w:rPr>
      </w:pPr>
      <w:r w:rsidRPr="003B4642">
        <w:rPr>
          <w:rFonts w:ascii="Calibri" w:eastAsia="Calibri" w:hAnsi="Calibri" w:cs="Calibri"/>
          <w:b/>
          <w:bCs/>
          <w:sz w:val="24"/>
          <w:szCs w:val="24"/>
        </w:rPr>
        <w:t>COMUNICAT DE PRESĂ</w:t>
      </w:r>
    </w:p>
    <w:p w14:paraId="7D0A1418" w14:textId="77777777" w:rsidR="00FC6EEA" w:rsidRPr="003B4642" w:rsidRDefault="00FC6EEA" w:rsidP="003B4642">
      <w:pPr>
        <w:spacing w:after="200" w:line="360" w:lineRule="auto"/>
        <w:jc w:val="center"/>
        <w:rPr>
          <w:rFonts w:ascii="Calibri" w:eastAsia="Calibri" w:hAnsi="Calibri" w:cs="Calibri"/>
          <w:b/>
          <w:bCs/>
          <w:sz w:val="28"/>
          <w:szCs w:val="28"/>
        </w:rPr>
      </w:pPr>
      <w:r w:rsidRPr="003B4642">
        <w:rPr>
          <w:rFonts w:ascii="Calibri" w:eastAsia="Calibri" w:hAnsi="Calibri" w:cs="Calibri"/>
          <w:b/>
          <w:bCs/>
          <w:sz w:val="28"/>
          <w:szCs w:val="28"/>
        </w:rPr>
        <w:t>PIFM denunță o nouă presiune nejustificată asupra mediului de afaceri și clarifică: suspendarea Ordinului 1073/2026 nu justifică blocarea platformei WorkinRomania</w:t>
      </w:r>
    </w:p>
    <w:p w14:paraId="19D3BAFD" w14:textId="77777777" w:rsidR="00312B92" w:rsidRPr="00525FA4" w:rsidRDefault="00312B92" w:rsidP="003B4642">
      <w:pPr>
        <w:spacing w:after="200" w:line="360" w:lineRule="auto"/>
        <w:jc w:val="both"/>
        <w:rPr>
          <w:rFonts w:ascii="Calibri" w:eastAsia="Calibri" w:hAnsi="Calibri" w:cs="Calibri"/>
          <w:b/>
          <w:bCs/>
          <w:sz w:val="22"/>
          <w:szCs w:val="22"/>
        </w:rPr>
      </w:pPr>
    </w:p>
    <w:p w14:paraId="7C74442C" w14:textId="0D0C108A" w:rsidR="00970BEE" w:rsidRPr="00525FA4" w:rsidRDefault="00000000" w:rsidP="003B4642">
      <w:pPr>
        <w:spacing w:after="200" w:line="360" w:lineRule="auto"/>
        <w:jc w:val="both"/>
        <w:rPr>
          <w:rFonts w:ascii="Calibri" w:eastAsia="Calibri" w:hAnsi="Calibri" w:cs="Calibri"/>
          <w:i/>
          <w:iCs/>
          <w:sz w:val="22"/>
          <w:szCs w:val="22"/>
          <w:lang w:val="ro-RO"/>
        </w:rPr>
      </w:pPr>
      <w:r w:rsidRPr="00525FA4">
        <w:rPr>
          <w:rFonts w:ascii="Calibri" w:eastAsia="Calibri" w:hAnsi="Calibri" w:cs="Calibri"/>
          <w:b/>
          <w:bCs/>
          <w:sz w:val="22"/>
          <w:szCs w:val="22"/>
        </w:rPr>
        <w:t>București, 15 septembrie 2026</w:t>
      </w:r>
      <w:r w:rsidR="002261DF" w:rsidRPr="00525FA4">
        <w:rPr>
          <w:rFonts w:ascii="Calibri" w:hAnsi="Calibri" w:cs="Calibri"/>
          <w:sz w:val="22"/>
          <w:szCs w:val="22"/>
        </w:rPr>
        <w:t xml:space="preserve"> - </w:t>
      </w:r>
      <w:r w:rsidR="003B4642" w:rsidRPr="00525FA4">
        <w:rPr>
          <w:rFonts w:ascii="Calibri" w:hAnsi="Calibri" w:cs="Calibri"/>
          <w:sz w:val="22"/>
          <w:szCs w:val="22"/>
        </w:rPr>
        <w:t>Patronatul Importatorilor de Forță de Muncă (PIFM) denunță public un act de dezinformare instituțională fără precedent: după ce PIFM a obținut în instanță suspendarea unui ordin ministerial nelegal, Inspectoratul General pentru Imigrări (IGI) și Ministerul Muncii au ales să își blocheze propria platformă guvernamentală — WorkinRomania.gov.ro, instrument oficial al statului român pentru înregistrarea, autorizarea și depunerea cererilor unice pentru vizele de tip D/AM1 și D/AM2, precum și schimbările de angajator, inclusiv lipsirea de efecte a amnistiei date prin OUG nr. 32/2026 — și să construiască, prin propria comunicare publică, o narativă în care patronatul care a câștigat procesul apare drept cauza blocajului pe care autoritățile însele l-au provocat. Menționarea expresă a denumirii patronatului în mesajul de întâmpinare al platformei WorkinRomania.gov.ro creează impresia eronată că demersul PIFM ar fi generat oprirea activității administrative. O astfel de abordare riscă să inducă în eroare angajatorii și să genereze o abordare de victimizare instituțională, abătând atenția de la obligația legală a autorităților de a asigura funcționarea neîntreruptă a serviciului public.</w:t>
      </w:r>
    </w:p>
    <w:p w14:paraId="1BC19593" w14:textId="179F3532" w:rsidR="00772529" w:rsidRPr="00525FA4" w:rsidRDefault="00000000"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Este o nouă și nejustificată presiune asupra mediului de afaceri, de data aceasta exercitată prin dezactivarea deliberată a unui serviciu public esențial.</w:t>
      </w:r>
    </w:p>
    <w:p w14:paraId="1BC1B4FF" w14:textId="47857612" w:rsidR="002261DF" w:rsidRPr="00525FA4" w:rsidRDefault="00650633"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 xml:space="preserve">Patronatul Importatorilor de Forță de Muncă (PIFM) dorește </w:t>
      </w:r>
      <w:r w:rsidR="00970BEE" w:rsidRPr="00525FA4">
        <w:rPr>
          <w:rFonts w:ascii="Calibri" w:eastAsia="Calibri" w:hAnsi="Calibri" w:cs="Calibri"/>
          <w:sz w:val="22"/>
          <w:szCs w:val="22"/>
          <w:lang w:val="ro-RO"/>
        </w:rPr>
        <w:t xml:space="preserve">ca </w:t>
      </w:r>
      <w:r w:rsidRPr="00525FA4">
        <w:rPr>
          <w:rFonts w:ascii="Calibri" w:eastAsia="Calibri" w:hAnsi="Calibri" w:cs="Calibri"/>
          <w:sz w:val="22"/>
          <w:szCs w:val="22"/>
        </w:rPr>
        <w:t xml:space="preserve">mediul de afaceri și </w:t>
      </w:r>
      <w:r w:rsidR="00970BEE" w:rsidRPr="00525FA4">
        <w:rPr>
          <w:rFonts w:ascii="Calibri" w:eastAsia="Calibri" w:hAnsi="Calibri" w:cs="Calibri"/>
          <w:sz w:val="22"/>
          <w:szCs w:val="22"/>
          <w:lang w:val="ro-RO"/>
        </w:rPr>
        <w:t>opinia</w:t>
      </w:r>
      <w:r w:rsidRPr="00525FA4">
        <w:rPr>
          <w:rFonts w:ascii="Calibri" w:eastAsia="Calibri" w:hAnsi="Calibri" w:cs="Calibri"/>
          <w:sz w:val="22"/>
          <w:szCs w:val="22"/>
        </w:rPr>
        <w:t xml:space="preserve"> public</w:t>
      </w:r>
      <w:r w:rsidR="00970BEE" w:rsidRPr="00525FA4">
        <w:rPr>
          <w:rFonts w:ascii="Calibri" w:eastAsia="Calibri" w:hAnsi="Calibri" w:cs="Calibri"/>
          <w:sz w:val="22"/>
          <w:szCs w:val="22"/>
          <w:lang w:val="ro-RO"/>
        </w:rPr>
        <w:t>a sa fie corect informate</w:t>
      </w:r>
      <w:r w:rsidRPr="00525FA4">
        <w:rPr>
          <w:rFonts w:ascii="Calibri" w:eastAsia="Calibri" w:hAnsi="Calibri" w:cs="Calibri"/>
          <w:sz w:val="22"/>
          <w:szCs w:val="22"/>
        </w:rPr>
        <w:t xml:space="preserve"> și își exprimă dorința de a sprijini aplicarea corectă și predictibilă a cadrului normativ, formulând următoarele precizări:</w:t>
      </w:r>
    </w:p>
    <w:p w14:paraId="526EC500" w14:textId="1545F534" w:rsidR="002261DF" w:rsidRPr="00525FA4" w:rsidRDefault="002261DF" w:rsidP="003B4642">
      <w:pPr>
        <w:spacing w:after="200" w:line="360" w:lineRule="auto"/>
        <w:jc w:val="both"/>
        <w:rPr>
          <w:rFonts w:ascii="Calibri" w:eastAsia="Calibri" w:hAnsi="Calibri" w:cs="Calibri"/>
          <w:sz w:val="22"/>
          <w:szCs w:val="22"/>
          <w:lang w:val="ro-RO"/>
        </w:rPr>
      </w:pPr>
      <w:r w:rsidRPr="00525FA4">
        <w:rPr>
          <w:rFonts w:ascii="Calibri" w:eastAsia="Calibri" w:hAnsi="Calibri" w:cs="Calibri"/>
          <w:sz w:val="22"/>
          <w:szCs w:val="22"/>
        </w:rPr>
        <w:t>Ordinul MMFTSS nr. 1073/2026 a reprezentat un act administrativ secundar de punere în aplicare, care introducea o selecție restrictivă a profesiilor. Prin Hotărârea Curții de Apel București din data de 11.09.2026 (Dosar 5633/2/2026), executarea acestui ordin a fost suspendată</w:t>
      </w:r>
      <w:r w:rsidR="00970BEE" w:rsidRPr="00525FA4">
        <w:rPr>
          <w:rFonts w:ascii="Calibri" w:eastAsia="Calibri" w:hAnsi="Calibri" w:cs="Calibri"/>
          <w:sz w:val="22"/>
          <w:szCs w:val="22"/>
          <w:lang w:val="ro-RO"/>
        </w:rPr>
        <w:t xml:space="preserve"> temporar. </w:t>
      </w:r>
    </w:p>
    <w:p w14:paraId="7E88770D" w14:textId="59AE683A"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lastRenderedPageBreak/>
        <w:t xml:space="preserve">În dreptul administrativ, suspendarea unui act secundar cu caracter restrictiv are ca efect juridic îndepărtarea provizorie a barierei introduse de acesta şi nu blocarea întregului cadru legal. Prin urmare, în absența temporară a Listei Ocupațiilor Deficitare, procesul de recrutare revine la regimul de drept comun, permițând angajatorilor să deruleze procedurile pentru orice ocupație din Clasificarea Ocupațiilor din România (COR) pe baza procedurii generale de testare a pieței muncii (eliberarea adeverinței ANOFM). </w:t>
      </w:r>
      <w:r w:rsidRPr="00525FA4">
        <w:rPr>
          <w:rFonts w:ascii="Calibri" w:eastAsia="Calibri" w:hAnsi="Calibri" w:cs="Calibri"/>
          <w:b/>
          <w:bCs/>
          <w:sz w:val="22"/>
          <w:szCs w:val="22"/>
        </w:rPr>
        <w:t xml:space="preserve">Suspendarea unui ordin secundar nu poate fi interpretată ca o interdicție totală </w:t>
      </w:r>
      <w:r w:rsidR="00E4443F" w:rsidRPr="00525FA4">
        <w:rPr>
          <w:rFonts w:ascii="Calibri" w:eastAsia="Calibri" w:hAnsi="Calibri" w:cs="Calibri"/>
          <w:b/>
          <w:bCs/>
          <w:sz w:val="22"/>
          <w:szCs w:val="22"/>
          <w:lang w:val="ro-RO"/>
        </w:rPr>
        <w:t xml:space="preserve">privind derularea de catre angajatorii romani a unor activitati economice legitime, recunoscute si protejate de lege. </w:t>
      </w:r>
    </w:p>
    <w:p w14:paraId="544C16B2" w14:textId="785F7117" w:rsidR="002261DF" w:rsidRPr="00525FA4" w:rsidRDefault="002261DF" w:rsidP="003B4642">
      <w:pPr>
        <w:spacing w:after="200" w:line="360" w:lineRule="auto"/>
        <w:jc w:val="both"/>
        <w:rPr>
          <w:rFonts w:ascii="Calibri" w:eastAsia="Calibri" w:hAnsi="Calibri" w:cs="Calibri"/>
          <w:sz w:val="22"/>
          <w:szCs w:val="22"/>
          <w:lang w:val="ro-RO"/>
        </w:rPr>
      </w:pPr>
      <w:r w:rsidRPr="00525FA4">
        <w:rPr>
          <w:rFonts w:ascii="Calibri" w:eastAsia="Calibri" w:hAnsi="Calibri" w:cs="Calibri"/>
          <w:sz w:val="22"/>
          <w:szCs w:val="22"/>
        </w:rPr>
        <w:t>PIFM a fost și rămâne un partener de dialog constructiv și responsabil. Pe parcursul ultimului an, patronatul a pus în mod constant la dispoziția Ministerului Muncii, Inspectoratului General pentru Imigrări date concrete și analize din teren referitoare la dinamica pieței muncii</w:t>
      </w:r>
      <w:r w:rsidR="00E4443F" w:rsidRPr="00525FA4">
        <w:rPr>
          <w:rFonts w:ascii="Calibri" w:eastAsia="Calibri" w:hAnsi="Calibri" w:cs="Calibri"/>
          <w:sz w:val="22"/>
          <w:szCs w:val="22"/>
          <w:lang w:val="ro-RO"/>
        </w:rPr>
        <w:t xml:space="preserve">, </w:t>
      </w:r>
      <w:r w:rsidR="003B4642" w:rsidRPr="00525FA4">
        <w:rPr>
          <w:rFonts w:ascii="Calibri" w:hAnsi="Calibri" w:cs="Calibri"/>
          <w:sz w:val="22"/>
          <w:szCs w:val="22"/>
        </w:rPr>
        <w:t>avertizând constant și cu mult timp înainte asupra riscului de blocaj economic și asupra derapajelor de la normele constituționale și de la principiile statului de drept, riscuri care s-au confirmat întocmai.</w:t>
      </w:r>
    </w:p>
    <w:p w14:paraId="060F96F0" w14:textId="27983D66" w:rsidR="002261DF" w:rsidRPr="00525FA4" w:rsidRDefault="002261DF" w:rsidP="003B4642">
      <w:pPr>
        <w:spacing w:after="200" w:line="360" w:lineRule="auto"/>
        <w:jc w:val="both"/>
        <w:rPr>
          <w:rFonts w:ascii="Calibri" w:eastAsia="Calibri" w:hAnsi="Calibri" w:cs="Calibri"/>
          <w:b/>
          <w:bCs/>
          <w:sz w:val="22"/>
          <w:szCs w:val="22"/>
        </w:rPr>
      </w:pPr>
      <w:r w:rsidRPr="00525FA4">
        <w:rPr>
          <w:rFonts w:ascii="Calibri" w:eastAsia="Calibri" w:hAnsi="Calibri" w:cs="Calibri"/>
          <w:sz w:val="22"/>
          <w:szCs w:val="22"/>
        </w:rPr>
        <w:t xml:space="preserve">Adresarea către instanța de judecată a reprezentat un demers legitim de protejare a mediului economic, iar pronunțarea soluției de suspendare confirmă existența unor îndoieli serioase privind legalitatea și fundamentarea Ordinului nr. 1073/2026. </w:t>
      </w:r>
      <w:r w:rsidRPr="00525FA4">
        <w:rPr>
          <w:rFonts w:ascii="Calibri" w:eastAsia="Calibri" w:hAnsi="Calibri" w:cs="Calibri"/>
          <w:b/>
          <w:bCs/>
          <w:sz w:val="22"/>
          <w:szCs w:val="22"/>
        </w:rPr>
        <w:t xml:space="preserve">Apariția acestei situații juridice nu reprezintă o culpă a mediului de afaceri, ci este consecința elaborării unui act administrativ ale cărui efecte au fost considerate </w:t>
      </w:r>
      <w:r w:rsidR="00E4443F" w:rsidRPr="00525FA4">
        <w:rPr>
          <w:rFonts w:ascii="Calibri" w:eastAsia="Calibri" w:hAnsi="Calibri" w:cs="Calibri"/>
          <w:b/>
          <w:bCs/>
          <w:sz w:val="22"/>
          <w:szCs w:val="22"/>
          <w:lang w:val="ro-RO"/>
        </w:rPr>
        <w:t>indoielnice</w:t>
      </w:r>
      <w:r w:rsidRPr="00525FA4">
        <w:rPr>
          <w:rFonts w:ascii="Calibri" w:eastAsia="Calibri" w:hAnsi="Calibri" w:cs="Calibri"/>
          <w:b/>
          <w:bCs/>
          <w:sz w:val="22"/>
          <w:szCs w:val="22"/>
        </w:rPr>
        <w:t xml:space="preserve"> de către instanță.</w:t>
      </w:r>
    </w:p>
    <w:p w14:paraId="65BF9443" w14:textId="1CF0C54D"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Într-un stat de drept, hotărârile judecătorești executorii de drept și actele normative de rang superior trebuie aplicate cu bună-credință. Subliniem că Ordonanța de Urgență a Guvernului nr. 32/2026 este pe deplin în vigoare. Suspendarea actului administrativ subsecvent nu anulează ordonanța de urgență și nu justifică sistarea de la procesarea cererilor depuse de operatorii economici.</w:t>
      </w:r>
    </w:p>
    <w:p w14:paraId="01A7AC01" w14:textId="77777777"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Patronatul Importatorilor de Forță de Muncă își reiterează deschiderea fermă pentru un dialog instituțional constructiv, transparent și profesionist cu Ministerul Muncii, Familiei, Tineretului și Solidarității Sociale, Ministerul Afacerilor Interne și Inspectoratul General pentru Imigrări, în vederea identificării celor mai bune soluții pentru piața muncii din România. Precizăm însă că această disponibilitate la colaborare nu va însemna niciodată acceptarea încălcării drepturilor și libertăților economice garantate de Constituția României.</w:t>
      </w:r>
    </w:p>
    <w:p w14:paraId="41FAA76B" w14:textId="273A505A"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lastRenderedPageBreak/>
        <w:t>Sistarea prelucrării cererilor din platformă și menținerea blocajului tehnic expun instituțiile și decidenții la un cadru riguros de răspundere juridică, având în vedere următoarele elemente constitutive prevăzute de cadrul legal:</w:t>
      </w:r>
    </w:p>
    <w:p w14:paraId="47F57A57" w14:textId="77777777"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w:t>
      </w:r>
      <w:r w:rsidRPr="00525FA4">
        <w:rPr>
          <w:rFonts w:ascii="Calibri" w:eastAsia="Calibri" w:hAnsi="Calibri" w:cs="Calibri"/>
          <w:sz w:val="22"/>
          <w:szCs w:val="22"/>
        </w:rPr>
        <w:tab/>
        <w:t>Potrivit art. 14 alin. (4) din Legea nr. 554/2004, hotărârea de suspendare este executorie de drept. Oprirea nejustificată a procesării cererilor contravine obligației de punere în aplicare a cadrului legal primar (OUG nr. 32/2026).</w:t>
      </w:r>
    </w:p>
    <w:p w14:paraId="2F634242" w14:textId="77777777"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w:t>
      </w:r>
      <w:r w:rsidRPr="00525FA4">
        <w:rPr>
          <w:rFonts w:ascii="Calibri" w:eastAsia="Calibri" w:hAnsi="Calibri" w:cs="Calibri"/>
          <w:sz w:val="22"/>
          <w:szCs w:val="22"/>
        </w:rPr>
        <w:tab/>
        <w:t>Neprocesarea dosarelor generează pagube materiale substanțiale și imediate pentru companiile din construcții, agricultură, industrie și HORECA, constând în sistarea lucrărilor, penalități contractuale și pierderi de investiții.</w:t>
      </w:r>
    </w:p>
    <w:p w14:paraId="0DF1B1F9" w14:textId="5C959A9B"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w:t>
      </w:r>
      <w:r w:rsidRPr="00525FA4">
        <w:rPr>
          <w:rFonts w:ascii="Calibri" w:eastAsia="Calibri" w:hAnsi="Calibri" w:cs="Calibri"/>
          <w:sz w:val="22"/>
          <w:szCs w:val="22"/>
        </w:rPr>
        <w:tab/>
        <w:t>Întârzierea sau refuzul de îndeplinire a atribuțiilor de serviciu stabilite prin lege pot îmbrăca forma refuzului nejustificat (art. 2 alin. 1 lit. i din Legea nr. 554/2004)</w:t>
      </w:r>
      <w:r w:rsidR="002C6E10" w:rsidRPr="00525FA4">
        <w:rPr>
          <w:rFonts w:ascii="Calibri" w:eastAsia="Calibri" w:hAnsi="Calibri" w:cs="Calibri"/>
          <w:sz w:val="22"/>
          <w:szCs w:val="22"/>
          <w:lang w:val="ro-RO"/>
        </w:rPr>
        <w:t>.</w:t>
      </w:r>
      <w:r w:rsidRPr="00525FA4">
        <w:rPr>
          <w:rFonts w:ascii="Calibri" w:eastAsia="Calibri" w:hAnsi="Calibri" w:cs="Calibri"/>
          <w:sz w:val="22"/>
          <w:szCs w:val="22"/>
        </w:rPr>
        <w:t xml:space="preserve"> </w:t>
      </w:r>
    </w:p>
    <w:p w14:paraId="0C4568B0" w14:textId="4BD313F4"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 xml:space="preserve">Patronatul Importatorilor de Forță de Muncă (PIFM) solicită oficial Ministerului Muncii și Inspectoratului General pentru Imigrări să dispună </w:t>
      </w:r>
      <w:r w:rsidR="002C6E10" w:rsidRPr="00525FA4">
        <w:rPr>
          <w:rFonts w:ascii="Calibri" w:eastAsia="Calibri" w:hAnsi="Calibri" w:cs="Calibri"/>
          <w:sz w:val="22"/>
          <w:szCs w:val="22"/>
          <w:lang w:val="ro-RO"/>
        </w:rPr>
        <w:t xml:space="preserve">de indata </w:t>
      </w:r>
      <w:r w:rsidRPr="00525FA4">
        <w:rPr>
          <w:rFonts w:ascii="Calibri" w:eastAsia="Calibri" w:hAnsi="Calibri" w:cs="Calibri"/>
          <w:sz w:val="22"/>
          <w:szCs w:val="22"/>
        </w:rPr>
        <w:t>reconfigurarea tehnică și repunerea în funcțiune a platformei WorkinRomania.gov.ro, permițând depunerea și procesarea cererilor pentru toate profesiile din Clasificarea Ocupațiilor din România (COR), în acord cu hotărârea instanței de judecată.</w:t>
      </w:r>
    </w:p>
    <w:p w14:paraId="5DCDE980" w14:textId="7BB15CA4" w:rsidR="002261DF" w:rsidRPr="00525FA4" w:rsidRDefault="002261DF" w:rsidP="003B4642">
      <w:pPr>
        <w:spacing w:after="200" w:line="360" w:lineRule="auto"/>
        <w:jc w:val="both"/>
        <w:rPr>
          <w:rFonts w:ascii="Calibri" w:eastAsia="Calibri" w:hAnsi="Calibri" w:cs="Calibri"/>
          <w:sz w:val="22"/>
          <w:szCs w:val="22"/>
        </w:rPr>
      </w:pPr>
      <w:r w:rsidRPr="00525FA4">
        <w:rPr>
          <w:rFonts w:ascii="Calibri" w:eastAsia="Calibri" w:hAnsi="Calibri" w:cs="Calibri"/>
          <w:sz w:val="22"/>
          <w:szCs w:val="22"/>
        </w:rPr>
        <w:t>În cazul în care blocajul tehnic va persista, PIFM va fi pus în situația de a apela la toate pârghiile legale disponibile, pentru protejarea drepturilor legitime ale angajatorilor din România.</w:t>
      </w:r>
    </w:p>
    <w:p w14:paraId="3F83AADE" w14:textId="77777777" w:rsidR="002261DF" w:rsidRPr="003B4642" w:rsidRDefault="002261DF" w:rsidP="003B4642">
      <w:pPr>
        <w:spacing w:after="200" w:line="360" w:lineRule="auto"/>
        <w:jc w:val="both"/>
        <w:rPr>
          <w:rFonts w:ascii="Calibri" w:eastAsia="Calibri" w:hAnsi="Calibri" w:cs="Calibri"/>
          <w:sz w:val="22"/>
          <w:szCs w:val="22"/>
        </w:rPr>
      </w:pPr>
    </w:p>
    <w:p w14:paraId="3B063ACB" w14:textId="3C31DEDA" w:rsidR="002261DF" w:rsidRPr="003B4642" w:rsidRDefault="002261DF" w:rsidP="003B4642">
      <w:pPr>
        <w:spacing w:after="200" w:line="360" w:lineRule="auto"/>
        <w:jc w:val="both"/>
        <w:rPr>
          <w:rFonts w:ascii="Calibri" w:eastAsia="Calibri" w:hAnsi="Calibri" w:cs="Calibri"/>
          <w:sz w:val="22"/>
          <w:szCs w:val="22"/>
        </w:rPr>
      </w:pPr>
      <w:r w:rsidRPr="003B4642">
        <w:rPr>
          <w:rFonts w:ascii="Calibri" w:eastAsia="Calibri" w:hAnsi="Calibri" w:cs="Calibri"/>
          <w:sz w:val="22"/>
          <w:szCs w:val="22"/>
        </w:rPr>
        <w:t>Dată: 15 Septembrie 2026</w:t>
      </w:r>
    </w:p>
    <w:p w14:paraId="790A3F9B" w14:textId="77777777" w:rsidR="002261DF" w:rsidRPr="003B4642" w:rsidRDefault="002261DF" w:rsidP="003B4642">
      <w:pPr>
        <w:spacing w:after="200" w:line="360" w:lineRule="auto"/>
        <w:jc w:val="both"/>
        <w:rPr>
          <w:rFonts w:ascii="Calibri" w:eastAsia="Calibri" w:hAnsi="Calibri" w:cs="Calibri"/>
          <w:b/>
          <w:bCs/>
          <w:sz w:val="22"/>
          <w:szCs w:val="22"/>
        </w:rPr>
      </w:pPr>
      <w:r w:rsidRPr="003B4642">
        <w:rPr>
          <w:rFonts w:ascii="Calibri" w:eastAsia="Calibri" w:hAnsi="Calibri" w:cs="Calibri"/>
          <w:b/>
          <w:bCs/>
          <w:sz w:val="22"/>
          <w:szCs w:val="22"/>
        </w:rPr>
        <w:t>Consiliul Director,</w:t>
      </w:r>
    </w:p>
    <w:p w14:paraId="3B482843" w14:textId="312D7F48" w:rsidR="001E62E1" w:rsidRPr="003B4642" w:rsidRDefault="001E62E1" w:rsidP="003B4642">
      <w:pPr>
        <w:spacing w:after="200" w:line="360" w:lineRule="auto"/>
        <w:jc w:val="both"/>
        <w:rPr>
          <w:rFonts w:ascii="Calibri" w:eastAsia="Calibri" w:hAnsi="Calibri" w:cs="Calibri"/>
          <w:b/>
          <w:bCs/>
          <w:sz w:val="22"/>
          <w:szCs w:val="22"/>
        </w:rPr>
      </w:pPr>
      <w:r w:rsidRPr="003B4642">
        <w:rPr>
          <w:rFonts w:ascii="Calibri" w:eastAsia="Calibri" w:hAnsi="Calibri" w:cs="Calibri"/>
          <w:b/>
          <w:bCs/>
          <w:sz w:val="22"/>
          <w:szCs w:val="22"/>
        </w:rPr>
        <w:t>Patronatul Importatorilor de Forță de Muncă (PIFM)</w:t>
      </w:r>
    </w:p>
    <w:p w14:paraId="5844584B" w14:textId="0C0F72B7" w:rsidR="00772529" w:rsidRPr="003B4642" w:rsidRDefault="00772529" w:rsidP="003B4642">
      <w:pPr>
        <w:spacing w:line="360" w:lineRule="auto"/>
        <w:jc w:val="both"/>
        <w:rPr>
          <w:rFonts w:ascii="Calibri" w:hAnsi="Calibri" w:cs="Calibri"/>
        </w:rPr>
      </w:pPr>
    </w:p>
    <w:sectPr w:rsidR="00772529" w:rsidRPr="003B464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79DB" w14:textId="77777777" w:rsidR="005A77E7" w:rsidRDefault="005A77E7" w:rsidP="00E02B66">
      <w:r>
        <w:separator/>
      </w:r>
    </w:p>
  </w:endnote>
  <w:endnote w:type="continuationSeparator" w:id="0">
    <w:p w14:paraId="5E231015" w14:textId="77777777" w:rsidR="005A77E7" w:rsidRDefault="005A77E7" w:rsidP="00E02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56D5" w14:textId="77777777" w:rsidR="005A77E7" w:rsidRDefault="005A77E7" w:rsidP="00E02B66">
      <w:r>
        <w:separator/>
      </w:r>
    </w:p>
  </w:footnote>
  <w:footnote w:type="continuationSeparator" w:id="0">
    <w:p w14:paraId="39A95866" w14:textId="77777777" w:rsidR="005A77E7" w:rsidRDefault="005A77E7" w:rsidP="00E02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8A4C" w14:textId="15E1680D" w:rsidR="00E02B66" w:rsidRDefault="00E02B66" w:rsidP="00E02B66">
    <w:pPr>
      <w:pStyle w:val="Header"/>
      <w:jc w:val="center"/>
    </w:pPr>
    <w:r>
      <w:rPr>
        <w:noProof/>
      </w:rPr>
      <w:drawing>
        <wp:inline distT="0" distB="0" distL="0" distR="0" wp14:anchorId="03618834" wp14:editId="62C37E00">
          <wp:extent cx="1982709" cy="852525"/>
          <wp:effectExtent l="0" t="0" r="0" b="0"/>
          <wp:docPr id="777079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79298" name="Picture 777079298"/>
                  <pic:cNvPicPr/>
                </pic:nvPicPr>
                <pic:blipFill>
                  <a:blip r:embed="rId1">
                    <a:extLst>
                      <a:ext uri="{28A0092B-C50C-407E-A947-70E740481C1C}">
                        <a14:useLocalDpi xmlns:a14="http://schemas.microsoft.com/office/drawing/2010/main" val="0"/>
                      </a:ext>
                    </a:extLst>
                  </a:blip>
                  <a:stretch>
                    <a:fillRect/>
                  </a:stretch>
                </pic:blipFill>
                <pic:spPr>
                  <a:xfrm>
                    <a:off x="0" y="0"/>
                    <a:ext cx="2126131" cy="9141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02EDD"/>
    <w:multiLevelType w:val="hybridMultilevel"/>
    <w:tmpl w:val="45B6A460"/>
    <w:lvl w:ilvl="0" w:tplc="A502B228">
      <w:start w:val="1"/>
      <w:numFmt w:val="bullet"/>
      <w:lvlText w:val="●"/>
      <w:lvlJc w:val="left"/>
      <w:pPr>
        <w:ind w:left="720" w:hanging="360"/>
      </w:pPr>
    </w:lvl>
    <w:lvl w:ilvl="1" w:tplc="498CECF8">
      <w:start w:val="1"/>
      <w:numFmt w:val="bullet"/>
      <w:lvlText w:val="○"/>
      <w:lvlJc w:val="left"/>
      <w:pPr>
        <w:ind w:left="1440" w:hanging="360"/>
      </w:pPr>
    </w:lvl>
    <w:lvl w:ilvl="2" w:tplc="7C6E0816">
      <w:start w:val="1"/>
      <w:numFmt w:val="bullet"/>
      <w:lvlText w:val="■"/>
      <w:lvlJc w:val="left"/>
      <w:pPr>
        <w:ind w:left="2160" w:hanging="360"/>
      </w:pPr>
    </w:lvl>
    <w:lvl w:ilvl="3" w:tplc="B7C0C830">
      <w:start w:val="1"/>
      <w:numFmt w:val="bullet"/>
      <w:lvlText w:val="●"/>
      <w:lvlJc w:val="left"/>
      <w:pPr>
        <w:ind w:left="2880" w:hanging="360"/>
      </w:pPr>
    </w:lvl>
    <w:lvl w:ilvl="4" w:tplc="5D60C3C0">
      <w:start w:val="1"/>
      <w:numFmt w:val="bullet"/>
      <w:lvlText w:val="○"/>
      <w:lvlJc w:val="left"/>
      <w:pPr>
        <w:ind w:left="3600" w:hanging="360"/>
      </w:pPr>
    </w:lvl>
    <w:lvl w:ilvl="5" w:tplc="550AB1CC">
      <w:start w:val="1"/>
      <w:numFmt w:val="bullet"/>
      <w:lvlText w:val="■"/>
      <w:lvlJc w:val="left"/>
      <w:pPr>
        <w:ind w:left="4320" w:hanging="360"/>
      </w:pPr>
    </w:lvl>
    <w:lvl w:ilvl="6" w:tplc="6CE639A0">
      <w:start w:val="1"/>
      <w:numFmt w:val="bullet"/>
      <w:lvlText w:val="●"/>
      <w:lvlJc w:val="left"/>
      <w:pPr>
        <w:ind w:left="5040" w:hanging="360"/>
      </w:pPr>
    </w:lvl>
    <w:lvl w:ilvl="7" w:tplc="3AF4F724">
      <w:start w:val="1"/>
      <w:numFmt w:val="bullet"/>
      <w:lvlText w:val="●"/>
      <w:lvlJc w:val="left"/>
      <w:pPr>
        <w:ind w:left="5760" w:hanging="360"/>
      </w:pPr>
    </w:lvl>
    <w:lvl w:ilvl="8" w:tplc="B2CCE006">
      <w:start w:val="1"/>
      <w:numFmt w:val="bullet"/>
      <w:lvlText w:val="●"/>
      <w:lvlJc w:val="left"/>
      <w:pPr>
        <w:ind w:left="6480" w:hanging="360"/>
      </w:pPr>
    </w:lvl>
  </w:abstractNum>
  <w:num w:numId="1" w16cid:durableId="1391503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529"/>
    <w:rsid w:val="001E62E1"/>
    <w:rsid w:val="002261DF"/>
    <w:rsid w:val="002C6E10"/>
    <w:rsid w:val="003002ED"/>
    <w:rsid w:val="00312B92"/>
    <w:rsid w:val="0034301D"/>
    <w:rsid w:val="00353B72"/>
    <w:rsid w:val="003B4642"/>
    <w:rsid w:val="00466A2A"/>
    <w:rsid w:val="00525FA4"/>
    <w:rsid w:val="005A77E7"/>
    <w:rsid w:val="00614257"/>
    <w:rsid w:val="00650633"/>
    <w:rsid w:val="00772529"/>
    <w:rsid w:val="00900720"/>
    <w:rsid w:val="00970BEE"/>
    <w:rsid w:val="00C572C4"/>
    <w:rsid w:val="00C92910"/>
    <w:rsid w:val="00DE6BB8"/>
    <w:rsid w:val="00E02B66"/>
    <w:rsid w:val="00E4443F"/>
    <w:rsid w:val="00FC6EE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E5C6A"/>
  <w15:docId w15:val="{04DF48CA-2B56-BE4A-8B43-7FB2EBCA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2B66"/>
    <w:pPr>
      <w:tabs>
        <w:tab w:val="center" w:pos="4513"/>
        <w:tab w:val="right" w:pos="9026"/>
      </w:tabs>
    </w:pPr>
  </w:style>
  <w:style w:type="character" w:customStyle="1" w:styleId="HeaderChar">
    <w:name w:val="Header Char"/>
    <w:basedOn w:val="DefaultParagraphFont"/>
    <w:link w:val="Header"/>
    <w:uiPriority w:val="99"/>
    <w:rsid w:val="00E02B66"/>
  </w:style>
  <w:style w:type="paragraph" w:styleId="Footer">
    <w:name w:val="footer"/>
    <w:basedOn w:val="Normal"/>
    <w:link w:val="FooterChar"/>
    <w:uiPriority w:val="99"/>
    <w:unhideWhenUsed/>
    <w:rsid w:val="00E02B66"/>
    <w:pPr>
      <w:tabs>
        <w:tab w:val="center" w:pos="4513"/>
        <w:tab w:val="right" w:pos="9026"/>
      </w:tabs>
    </w:pPr>
  </w:style>
  <w:style w:type="character" w:customStyle="1" w:styleId="FooterChar">
    <w:name w:val="Footer Char"/>
    <w:basedOn w:val="DefaultParagraphFont"/>
    <w:link w:val="Footer"/>
    <w:uiPriority w:val="99"/>
    <w:rsid w:val="00E02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2026-09-15T12:45:00Z</dcterms:created>
  <dcterms:modified xsi:type="dcterms:W3CDTF">2026-09-15T12:45:00Z</dcterms:modified>
</cp:coreProperties>
</file>